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22" w:rsidRPr="00C86C22" w:rsidRDefault="00C86C22" w:rsidP="00C86C22">
      <w:pPr>
        <w:rPr>
          <w:rFonts w:ascii="Times New Roman" w:hAnsi="Times New Roman" w:cs="Times New Roman"/>
          <w:sz w:val="24"/>
          <w:szCs w:val="24"/>
        </w:rPr>
      </w:pPr>
      <w:r w:rsidRPr="00C86C22">
        <w:rPr>
          <w:rFonts w:ascii="Times New Roman" w:hAnsi="Times New Roman" w:cs="Times New Roman"/>
          <w:sz w:val="24"/>
          <w:szCs w:val="24"/>
        </w:rPr>
        <w:t>Subject Name: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F2D" w:rsidRPr="003D4B70">
        <w:rPr>
          <w:rFonts w:ascii="Times New Roman" w:hAnsi="Times New Roman" w:cs="Times New Roman"/>
          <w:sz w:val="27"/>
          <w:szCs w:val="27"/>
          <w:shd w:val="clear" w:color="auto" w:fill="F9F9F9"/>
        </w:rPr>
        <w:t>EE2303/ TRANSMISSION AND DISTRIBUTION</w:t>
      </w:r>
    </w:p>
    <w:p w:rsidR="00C86C22" w:rsidRPr="00C86C22" w:rsidRDefault="00C86C22" w:rsidP="00C86C22">
      <w:pPr>
        <w:rPr>
          <w:rFonts w:ascii="Times New Roman" w:hAnsi="Times New Roman" w:cs="Times New Roman"/>
          <w:sz w:val="24"/>
          <w:szCs w:val="24"/>
        </w:rPr>
      </w:pPr>
      <w:r w:rsidRPr="00C86C22">
        <w:rPr>
          <w:rFonts w:ascii="Times New Roman" w:hAnsi="Times New Roman" w:cs="Times New Roman"/>
          <w:sz w:val="24"/>
          <w:szCs w:val="24"/>
        </w:rPr>
        <w:t>Year</w:t>
      </w:r>
      <w:r w:rsidRPr="00C86C22">
        <w:rPr>
          <w:rFonts w:ascii="Times New Roman" w:hAnsi="Times New Roman" w:cs="Times New Roman"/>
          <w:sz w:val="24"/>
          <w:szCs w:val="24"/>
        </w:rPr>
        <w:tab/>
      </w:r>
      <w:r w:rsidRPr="00C86C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:</w:t>
      </w:r>
      <w:r w:rsidR="003D4B70">
        <w:rPr>
          <w:rFonts w:ascii="Times New Roman" w:hAnsi="Times New Roman" w:cs="Times New Roman"/>
          <w:sz w:val="24"/>
          <w:szCs w:val="24"/>
        </w:rPr>
        <w:t xml:space="preserve"> III Year/ V Sem</w:t>
      </w:r>
    </w:p>
    <w:p w:rsidR="00C86C22" w:rsidRPr="00C86C22" w:rsidRDefault="00C86C22" w:rsidP="00C86C22">
      <w:pPr>
        <w:spacing w:after="0" w:line="216" w:lineRule="auto"/>
        <w:ind w:right="180"/>
        <w:rPr>
          <w:rFonts w:ascii="Times New Roman" w:hAnsi="Times New Roman" w:cs="Times New Roman"/>
          <w:b/>
          <w:sz w:val="24"/>
          <w:szCs w:val="24"/>
        </w:rPr>
      </w:pPr>
      <w:r w:rsidRPr="00C86C22">
        <w:rPr>
          <w:rFonts w:ascii="Times New Roman" w:hAnsi="Times New Roman" w:cs="Times New Roman"/>
          <w:b/>
          <w:sz w:val="24"/>
          <w:szCs w:val="24"/>
        </w:rPr>
        <w:t>Syllabus:</w:t>
      </w:r>
    </w:p>
    <w:p w:rsidR="00176BB9" w:rsidRPr="00C86C22" w:rsidRDefault="00176BB9">
      <w:pPr>
        <w:rPr>
          <w:rFonts w:ascii="Times New Roman" w:hAnsi="Times New Roman" w:cs="Times New Roman"/>
          <w:sz w:val="24"/>
          <w:szCs w:val="24"/>
        </w:rPr>
      </w:pPr>
    </w:p>
    <w:p w:rsidR="00C86C22" w:rsidRPr="00C86C22" w:rsidRDefault="00C86C22" w:rsidP="00C86C22">
      <w:pPr>
        <w:rPr>
          <w:rFonts w:ascii="Times New Roman" w:hAnsi="Times New Roman" w:cs="Times New Roman"/>
          <w:sz w:val="24"/>
          <w:szCs w:val="24"/>
        </w:rPr>
      </w:pPr>
      <w:r w:rsidRPr="00C86C22">
        <w:rPr>
          <w:rFonts w:ascii="Times New Roman" w:hAnsi="Times New Roman" w:cs="Times New Roman"/>
          <w:sz w:val="24"/>
          <w:szCs w:val="24"/>
        </w:rPr>
        <w:t xml:space="preserve">UNIT I                             INTRODUCTION                                  </w:t>
      </w:r>
    </w:p>
    <w:p w:rsidR="00C86C22" w:rsidRPr="00C86C22" w:rsidRDefault="00C86C22" w:rsidP="00C86C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86C22">
        <w:rPr>
          <w:rFonts w:ascii="Times New Roman" w:hAnsi="Times New Roman" w:cs="Times New Roman"/>
          <w:sz w:val="24"/>
          <w:szCs w:val="24"/>
        </w:rPr>
        <w:t>Structure of electric power system - different operating voltages of generation, transmission and distribution – advantage of higher operating voltage for AC transmission.</w:t>
      </w:r>
      <w:proofErr w:type="gramEnd"/>
      <w:r w:rsidRPr="00C86C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6C22">
        <w:rPr>
          <w:rFonts w:ascii="Times New Roman" w:hAnsi="Times New Roman" w:cs="Times New Roman"/>
          <w:sz w:val="24"/>
          <w:szCs w:val="24"/>
        </w:rPr>
        <w:t>An introduction to EHV AC transmission, HVDC transmission and FACTs.</w:t>
      </w:r>
      <w:proofErr w:type="gramEnd"/>
      <w:r w:rsidRPr="00C86C22">
        <w:rPr>
          <w:rFonts w:ascii="Times New Roman" w:hAnsi="Times New Roman" w:cs="Times New Roman"/>
          <w:sz w:val="24"/>
          <w:szCs w:val="24"/>
        </w:rPr>
        <w:t xml:space="preserve"> Mechanical design of transmission line between towers – sag and tension calculations using approximate equations taking into account the effect of ice and wind.</w:t>
      </w:r>
    </w:p>
    <w:p w:rsidR="00C86C22" w:rsidRPr="00C86C22" w:rsidRDefault="00C86C22" w:rsidP="00C86C22">
      <w:pPr>
        <w:rPr>
          <w:rFonts w:ascii="Times New Roman" w:hAnsi="Times New Roman" w:cs="Times New Roman"/>
          <w:sz w:val="24"/>
          <w:szCs w:val="24"/>
        </w:rPr>
      </w:pPr>
      <w:r w:rsidRPr="00C86C22">
        <w:rPr>
          <w:rFonts w:ascii="Times New Roman" w:hAnsi="Times New Roman" w:cs="Times New Roman"/>
          <w:sz w:val="24"/>
          <w:szCs w:val="24"/>
        </w:rPr>
        <w:t xml:space="preserve">UNIT II             TRANSMISSION LINE PARAMETERS           </w:t>
      </w:r>
    </w:p>
    <w:p w:rsidR="00C86C22" w:rsidRPr="00C86C22" w:rsidRDefault="00C86C22" w:rsidP="00C86C22">
      <w:pPr>
        <w:rPr>
          <w:rFonts w:ascii="Times New Roman" w:hAnsi="Times New Roman" w:cs="Times New Roman"/>
          <w:sz w:val="24"/>
          <w:szCs w:val="24"/>
        </w:rPr>
      </w:pPr>
      <w:r w:rsidRPr="00C86C22">
        <w:rPr>
          <w:rFonts w:ascii="Times New Roman" w:hAnsi="Times New Roman" w:cs="Times New Roman"/>
          <w:sz w:val="24"/>
          <w:szCs w:val="24"/>
        </w:rPr>
        <w:t xml:space="preserve">Parameters of resistance, inductance and capacitance calculations - single and three phase transmission lines - single and double circuits - solid, stranded and bundled conductors - symmetrical and unsymmetrical spacing – transposition of lines - concepts of GMR and GMD - skin and proximity effects - interference with </w:t>
      </w:r>
      <w:proofErr w:type="spellStart"/>
      <w:r w:rsidRPr="00C86C22">
        <w:rPr>
          <w:rFonts w:ascii="Times New Roman" w:hAnsi="Times New Roman" w:cs="Times New Roman"/>
          <w:sz w:val="24"/>
          <w:szCs w:val="24"/>
        </w:rPr>
        <w:t>neighbouring</w:t>
      </w:r>
      <w:proofErr w:type="spellEnd"/>
      <w:r w:rsidRPr="00C86C22">
        <w:rPr>
          <w:rFonts w:ascii="Times New Roman" w:hAnsi="Times New Roman" w:cs="Times New Roman"/>
          <w:sz w:val="24"/>
          <w:szCs w:val="24"/>
        </w:rPr>
        <w:t xml:space="preserve"> communication circuits. </w:t>
      </w:r>
      <w:proofErr w:type="gramStart"/>
      <w:r w:rsidRPr="00C86C22">
        <w:rPr>
          <w:rFonts w:ascii="Times New Roman" w:hAnsi="Times New Roman" w:cs="Times New Roman"/>
          <w:sz w:val="24"/>
          <w:szCs w:val="24"/>
        </w:rPr>
        <w:t>Corona discharge characteristics – critical voltage and loss.</w:t>
      </w:r>
      <w:proofErr w:type="gramEnd"/>
      <w:r w:rsidRPr="00C86C22">
        <w:rPr>
          <w:rFonts w:ascii="Times New Roman" w:hAnsi="Times New Roman" w:cs="Times New Roman"/>
          <w:sz w:val="24"/>
          <w:szCs w:val="24"/>
        </w:rPr>
        <w:t xml:space="preserve"> (Simple diagrams of typical towers and conductors for 400, 220 and 110 kV operations)</w:t>
      </w:r>
    </w:p>
    <w:p w:rsidR="00C86C22" w:rsidRPr="00C86C22" w:rsidRDefault="00C86C22" w:rsidP="00C86C22">
      <w:pPr>
        <w:rPr>
          <w:rFonts w:ascii="Times New Roman" w:hAnsi="Times New Roman" w:cs="Times New Roman"/>
          <w:sz w:val="24"/>
          <w:szCs w:val="24"/>
        </w:rPr>
      </w:pPr>
      <w:r w:rsidRPr="00C86C22">
        <w:rPr>
          <w:rFonts w:ascii="Times New Roman" w:hAnsi="Times New Roman" w:cs="Times New Roman"/>
          <w:sz w:val="24"/>
          <w:szCs w:val="24"/>
        </w:rPr>
        <w:t>UNIT III</w:t>
      </w:r>
    </w:p>
    <w:p w:rsidR="00C86C22" w:rsidRPr="00C86C22" w:rsidRDefault="00C86C22" w:rsidP="00C86C22">
      <w:pPr>
        <w:rPr>
          <w:rFonts w:ascii="Times New Roman" w:hAnsi="Times New Roman" w:cs="Times New Roman"/>
          <w:sz w:val="24"/>
          <w:szCs w:val="24"/>
        </w:rPr>
      </w:pPr>
      <w:r w:rsidRPr="00C86C22">
        <w:rPr>
          <w:rFonts w:ascii="Times New Roman" w:hAnsi="Times New Roman" w:cs="Times New Roman"/>
          <w:sz w:val="24"/>
          <w:szCs w:val="24"/>
        </w:rPr>
        <w:t xml:space="preserve">MODELLING AND PERFORMANCE OF TRANSMISSION LINES </w:t>
      </w:r>
    </w:p>
    <w:p w:rsidR="00C86C22" w:rsidRPr="00C86C22" w:rsidRDefault="00C86C22" w:rsidP="00C86C22">
      <w:pPr>
        <w:rPr>
          <w:rFonts w:ascii="Times New Roman" w:hAnsi="Times New Roman" w:cs="Times New Roman"/>
          <w:sz w:val="24"/>
          <w:szCs w:val="24"/>
        </w:rPr>
      </w:pPr>
      <w:r w:rsidRPr="00C86C22">
        <w:rPr>
          <w:rFonts w:ascii="Times New Roman" w:hAnsi="Times New Roman" w:cs="Times New Roman"/>
          <w:sz w:val="24"/>
          <w:szCs w:val="24"/>
        </w:rPr>
        <w:t xml:space="preserve">Transmission line classification - short line, medium line and long line - equivalent circuits – Ferranti effect - surge impedance, attenuation constant and phase constant - voltage regulation and transmission efficiency - real and reactive power flow in lines – power circle diagrams – shunt and series compensation. An introduction to power angle diagram - surge-impedance loading, </w:t>
      </w:r>
      <w:proofErr w:type="spellStart"/>
      <w:r w:rsidRPr="00C86C22">
        <w:rPr>
          <w:rFonts w:ascii="Times New Roman" w:hAnsi="Times New Roman" w:cs="Times New Roman"/>
          <w:sz w:val="24"/>
          <w:szCs w:val="24"/>
        </w:rPr>
        <w:t>loadability</w:t>
      </w:r>
      <w:proofErr w:type="spellEnd"/>
      <w:r w:rsidRPr="00C86C22">
        <w:rPr>
          <w:rFonts w:ascii="Times New Roman" w:hAnsi="Times New Roman" w:cs="Times New Roman"/>
          <w:sz w:val="24"/>
          <w:szCs w:val="24"/>
        </w:rPr>
        <w:t xml:space="preserve"> limits based on thermal loading; angle and voltage stability considerations.</w:t>
      </w:r>
    </w:p>
    <w:p w:rsidR="00C86C22" w:rsidRPr="00C86C22" w:rsidRDefault="00C86C22" w:rsidP="00C86C22">
      <w:pPr>
        <w:rPr>
          <w:rFonts w:ascii="Times New Roman" w:hAnsi="Times New Roman" w:cs="Times New Roman"/>
          <w:sz w:val="24"/>
          <w:szCs w:val="24"/>
        </w:rPr>
      </w:pPr>
      <w:r w:rsidRPr="00C86C22">
        <w:rPr>
          <w:rFonts w:ascii="Times New Roman" w:hAnsi="Times New Roman" w:cs="Times New Roman"/>
          <w:sz w:val="24"/>
          <w:szCs w:val="24"/>
        </w:rPr>
        <w:t xml:space="preserve">UNIT IV                 INSULATORS AND CABLES                        </w:t>
      </w:r>
    </w:p>
    <w:p w:rsidR="00C86C22" w:rsidRPr="00C86C22" w:rsidRDefault="00C86C22" w:rsidP="00C86C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86C22">
        <w:rPr>
          <w:rFonts w:ascii="Times New Roman" w:hAnsi="Times New Roman" w:cs="Times New Roman"/>
          <w:sz w:val="24"/>
          <w:szCs w:val="24"/>
        </w:rPr>
        <w:t>Classification of insulators for transmission and distribution purpose – voltage distribution in insulator string and grading - improvement of string efficiency.</w:t>
      </w:r>
      <w:proofErr w:type="gramEnd"/>
      <w:r w:rsidRPr="00C86C22">
        <w:rPr>
          <w:rFonts w:ascii="Times New Roman" w:hAnsi="Times New Roman" w:cs="Times New Roman"/>
          <w:sz w:val="24"/>
          <w:szCs w:val="24"/>
        </w:rPr>
        <w:t xml:space="preserve"> Underground cables - constructional features of LT and HT cables – insulation </w:t>
      </w:r>
      <w:proofErr w:type="spellStart"/>
      <w:r w:rsidRPr="00C86C22">
        <w:rPr>
          <w:rFonts w:ascii="Times New Roman" w:hAnsi="Times New Roman" w:cs="Times New Roman"/>
          <w:sz w:val="24"/>
          <w:szCs w:val="24"/>
        </w:rPr>
        <w:t>resistance</w:t>
      </w:r>
      <w:proofErr w:type="gramStart"/>
      <w:r w:rsidRPr="00C86C22">
        <w:rPr>
          <w:rFonts w:ascii="Times New Roman" w:hAnsi="Times New Roman" w:cs="Times New Roman"/>
          <w:sz w:val="24"/>
          <w:szCs w:val="24"/>
        </w:rPr>
        <w:t>,capacitance</w:t>
      </w:r>
      <w:proofErr w:type="spellEnd"/>
      <w:proofErr w:type="gramEnd"/>
      <w:r w:rsidRPr="00C86C22">
        <w:rPr>
          <w:rFonts w:ascii="Times New Roman" w:hAnsi="Times New Roman" w:cs="Times New Roman"/>
          <w:sz w:val="24"/>
          <w:szCs w:val="24"/>
        </w:rPr>
        <w:t>, dielectric stress and grading – tan δ and power loss - thermal characteristics.</w:t>
      </w:r>
    </w:p>
    <w:p w:rsidR="00C86C22" w:rsidRDefault="00C86C22" w:rsidP="00C86C22">
      <w:pPr>
        <w:rPr>
          <w:rFonts w:ascii="Times New Roman" w:hAnsi="Times New Roman" w:cs="Times New Roman"/>
          <w:sz w:val="24"/>
          <w:szCs w:val="24"/>
        </w:rPr>
      </w:pPr>
    </w:p>
    <w:p w:rsidR="00C86C22" w:rsidRPr="00C86C22" w:rsidRDefault="00C86C22" w:rsidP="00C86C22">
      <w:pPr>
        <w:rPr>
          <w:rFonts w:ascii="Times New Roman" w:hAnsi="Times New Roman" w:cs="Times New Roman"/>
          <w:sz w:val="24"/>
          <w:szCs w:val="24"/>
        </w:rPr>
      </w:pPr>
    </w:p>
    <w:p w:rsidR="00C86C22" w:rsidRPr="00C86C22" w:rsidRDefault="00C86C22" w:rsidP="00C86C22">
      <w:pPr>
        <w:rPr>
          <w:rFonts w:ascii="Times New Roman" w:hAnsi="Times New Roman" w:cs="Times New Roman"/>
          <w:sz w:val="24"/>
          <w:szCs w:val="24"/>
        </w:rPr>
      </w:pPr>
      <w:r w:rsidRPr="00C86C22">
        <w:rPr>
          <w:rFonts w:ascii="Times New Roman" w:hAnsi="Times New Roman" w:cs="Times New Roman"/>
          <w:sz w:val="24"/>
          <w:szCs w:val="24"/>
        </w:rPr>
        <w:t xml:space="preserve">UNIT V                                                                                              </w:t>
      </w:r>
    </w:p>
    <w:p w:rsidR="00C86C22" w:rsidRPr="00C86C22" w:rsidRDefault="00C86C22" w:rsidP="00C86C22">
      <w:pPr>
        <w:rPr>
          <w:rFonts w:ascii="Times New Roman" w:hAnsi="Times New Roman" w:cs="Times New Roman"/>
          <w:sz w:val="24"/>
          <w:szCs w:val="24"/>
        </w:rPr>
      </w:pPr>
      <w:r w:rsidRPr="00C86C22">
        <w:rPr>
          <w:rFonts w:ascii="Times New Roman" w:hAnsi="Times New Roman" w:cs="Times New Roman"/>
          <w:sz w:val="24"/>
          <w:szCs w:val="24"/>
        </w:rPr>
        <w:lastRenderedPageBreak/>
        <w:t>SUBSTATION, GROUNDING SYSTEM AND DISTRIBUTION SYSTEM</w:t>
      </w:r>
    </w:p>
    <w:p w:rsidR="00C86C22" w:rsidRPr="00C86C22" w:rsidRDefault="00C86C22" w:rsidP="00C86C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86C22">
        <w:rPr>
          <w:rFonts w:ascii="Times New Roman" w:hAnsi="Times New Roman" w:cs="Times New Roman"/>
          <w:sz w:val="24"/>
          <w:szCs w:val="24"/>
        </w:rPr>
        <w:t>Classification, functions and major components of substations.</w:t>
      </w:r>
      <w:proofErr w:type="gramEnd"/>
      <w:r w:rsidRPr="00C86C22">
        <w:rPr>
          <w:rFonts w:ascii="Times New Roman" w:hAnsi="Times New Roman" w:cs="Times New Roman"/>
          <w:sz w:val="24"/>
          <w:szCs w:val="24"/>
        </w:rPr>
        <w:t xml:space="preserve"> Bus-bar arrangements - substation bus schemes - single bus, double bus with double breaker, double bus with single breaker, main and transfer bus, ring bus, breaker-and-a-half with two main buses, double bus-bar with bypass isolators. </w:t>
      </w:r>
      <w:proofErr w:type="gramStart"/>
      <w:r w:rsidRPr="00C86C22">
        <w:rPr>
          <w:rFonts w:ascii="Times New Roman" w:hAnsi="Times New Roman" w:cs="Times New Roman"/>
          <w:sz w:val="24"/>
          <w:szCs w:val="24"/>
        </w:rPr>
        <w:t xml:space="preserve">Importance of </w:t>
      </w:r>
      <w:proofErr w:type="spellStart"/>
      <w:r w:rsidRPr="00C86C22">
        <w:rPr>
          <w:rFonts w:ascii="Times New Roman" w:hAnsi="Times New Roman" w:cs="Times New Roman"/>
          <w:sz w:val="24"/>
          <w:szCs w:val="24"/>
        </w:rPr>
        <w:t>earthing</w:t>
      </w:r>
      <w:proofErr w:type="spellEnd"/>
      <w:r w:rsidRPr="00C86C22">
        <w:rPr>
          <w:rFonts w:ascii="Times New Roman" w:hAnsi="Times New Roman" w:cs="Times New Roman"/>
          <w:sz w:val="24"/>
          <w:szCs w:val="24"/>
        </w:rPr>
        <w:t xml:space="preserve"> in a substation.</w:t>
      </w:r>
      <w:proofErr w:type="gramEnd"/>
      <w:r w:rsidRPr="00C86C22">
        <w:rPr>
          <w:rFonts w:ascii="Times New Roman" w:hAnsi="Times New Roman" w:cs="Times New Roman"/>
          <w:sz w:val="24"/>
          <w:szCs w:val="24"/>
        </w:rPr>
        <w:t xml:space="preserve"> Qualitative treatment to neutral grounding and </w:t>
      </w:r>
      <w:proofErr w:type="spellStart"/>
      <w:r w:rsidRPr="00C86C22">
        <w:rPr>
          <w:rFonts w:ascii="Times New Roman" w:hAnsi="Times New Roman" w:cs="Times New Roman"/>
          <w:sz w:val="24"/>
          <w:szCs w:val="24"/>
        </w:rPr>
        <w:t>earthing</w:t>
      </w:r>
      <w:proofErr w:type="spellEnd"/>
      <w:r w:rsidRPr="00C8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C22">
        <w:rPr>
          <w:rFonts w:ascii="Times New Roman" w:hAnsi="Times New Roman" w:cs="Times New Roman"/>
          <w:sz w:val="24"/>
          <w:szCs w:val="24"/>
        </w:rPr>
        <w:t>practises</w:t>
      </w:r>
      <w:proofErr w:type="spellEnd"/>
      <w:r w:rsidRPr="00C86C22">
        <w:rPr>
          <w:rFonts w:ascii="Times New Roman" w:hAnsi="Times New Roman" w:cs="Times New Roman"/>
          <w:sz w:val="24"/>
          <w:szCs w:val="24"/>
        </w:rPr>
        <w:t xml:space="preserve"> in substations. </w:t>
      </w:r>
      <w:proofErr w:type="gramStart"/>
      <w:r w:rsidRPr="00C86C22">
        <w:rPr>
          <w:rFonts w:ascii="Times New Roman" w:hAnsi="Times New Roman" w:cs="Times New Roman"/>
          <w:sz w:val="24"/>
          <w:szCs w:val="24"/>
        </w:rPr>
        <w:t>Feeders, distributors and service mains.</w:t>
      </w:r>
      <w:proofErr w:type="gramEnd"/>
      <w:r w:rsidRPr="00C86C22">
        <w:rPr>
          <w:rFonts w:ascii="Times New Roman" w:hAnsi="Times New Roman" w:cs="Times New Roman"/>
          <w:sz w:val="24"/>
          <w:szCs w:val="24"/>
        </w:rPr>
        <w:t xml:space="preserve"> DC distributor – 2-wire and 3-wire, radial and ring main distribution. </w:t>
      </w:r>
      <w:proofErr w:type="gramStart"/>
      <w:r w:rsidRPr="00C86C22">
        <w:rPr>
          <w:rFonts w:ascii="Times New Roman" w:hAnsi="Times New Roman" w:cs="Times New Roman"/>
          <w:sz w:val="24"/>
          <w:szCs w:val="24"/>
        </w:rPr>
        <w:t>AC distribution – single phase and three phase 4-wire distribution.</w:t>
      </w:r>
      <w:proofErr w:type="gramEnd"/>
    </w:p>
    <w:p w:rsidR="00C86C22" w:rsidRPr="00C86C22" w:rsidRDefault="00C86C22" w:rsidP="00C86C22">
      <w:pPr>
        <w:rPr>
          <w:rFonts w:ascii="Times New Roman" w:hAnsi="Times New Roman" w:cs="Times New Roman"/>
          <w:sz w:val="24"/>
          <w:szCs w:val="24"/>
        </w:rPr>
      </w:pPr>
    </w:p>
    <w:p w:rsidR="00C86C22" w:rsidRPr="00C86C22" w:rsidRDefault="00C86C22" w:rsidP="00C86C22">
      <w:pPr>
        <w:rPr>
          <w:rFonts w:ascii="Times New Roman" w:hAnsi="Times New Roman" w:cs="Times New Roman"/>
          <w:sz w:val="24"/>
          <w:szCs w:val="24"/>
        </w:rPr>
      </w:pPr>
      <w:r w:rsidRPr="00C86C22">
        <w:rPr>
          <w:rFonts w:ascii="Times New Roman" w:hAnsi="Times New Roman" w:cs="Times New Roman"/>
          <w:sz w:val="24"/>
          <w:szCs w:val="24"/>
        </w:rPr>
        <w:t>TEXT BOOKS</w:t>
      </w:r>
    </w:p>
    <w:p w:rsidR="00C86C22" w:rsidRPr="00C86C22" w:rsidRDefault="00C86C22" w:rsidP="00C86C22">
      <w:pPr>
        <w:rPr>
          <w:rFonts w:ascii="Times New Roman" w:hAnsi="Times New Roman" w:cs="Times New Roman"/>
          <w:sz w:val="24"/>
          <w:szCs w:val="24"/>
        </w:rPr>
      </w:pPr>
      <w:r w:rsidRPr="00C86C2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86C22">
        <w:rPr>
          <w:rFonts w:ascii="Times New Roman" w:hAnsi="Times New Roman" w:cs="Times New Roman"/>
          <w:sz w:val="24"/>
          <w:szCs w:val="24"/>
        </w:rPr>
        <w:t>B.R.Gupta</w:t>
      </w:r>
      <w:proofErr w:type="spellEnd"/>
      <w:r w:rsidRPr="00C86C22">
        <w:rPr>
          <w:rFonts w:ascii="Times New Roman" w:hAnsi="Times New Roman" w:cs="Times New Roman"/>
          <w:sz w:val="24"/>
          <w:szCs w:val="24"/>
        </w:rPr>
        <w:t xml:space="preserve">, ‘Power System Analysis and Design’, S. </w:t>
      </w:r>
      <w:proofErr w:type="spellStart"/>
      <w:r w:rsidRPr="00C86C22">
        <w:rPr>
          <w:rFonts w:ascii="Times New Roman" w:hAnsi="Times New Roman" w:cs="Times New Roman"/>
          <w:sz w:val="24"/>
          <w:szCs w:val="24"/>
        </w:rPr>
        <w:t>Chand</w:t>
      </w:r>
      <w:proofErr w:type="spellEnd"/>
      <w:r w:rsidRPr="00C86C22">
        <w:rPr>
          <w:rFonts w:ascii="Times New Roman" w:hAnsi="Times New Roman" w:cs="Times New Roman"/>
          <w:sz w:val="24"/>
          <w:szCs w:val="24"/>
        </w:rPr>
        <w:t>, New Delhi, 2003.</w:t>
      </w:r>
    </w:p>
    <w:p w:rsidR="00C86C22" w:rsidRPr="00C86C22" w:rsidRDefault="00C86C22" w:rsidP="00C86C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86C22">
        <w:rPr>
          <w:rFonts w:ascii="Times New Roman" w:hAnsi="Times New Roman" w:cs="Times New Roman"/>
          <w:sz w:val="24"/>
          <w:szCs w:val="24"/>
        </w:rPr>
        <w:t xml:space="preserve">2. S.N. Singh, ‘Electric Power Generation, Transmission and Distribution’, Prentice Hall of India </w:t>
      </w:r>
      <w:proofErr w:type="spellStart"/>
      <w:r w:rsidRPr="00C86C22">
        <w:rPr>
          <w:rFonts w:ascii="Times New Roman" w:hAnsi="Times New Roman" w:cs="Times New Roman"/>
          <w:sz w:val="24"/>
          <w:szCs w:val="24"/>
        </w:rPr>
        <w:t>Pvt</w:t>
      </w:r>
      <w:proofErr w:type="spellEnd"/>
      <w:r w:rsidRPr="00C86C22">
        <w:rPr>
          <w:rFonts w:ascii="Times New Roman" w:hAnsi="Times New Roman" w:cs="Times New Roman"/>
          <w:sz w:val="24"/>
          <w:szCs w:val="24"/>
        </w:rPr>
        <w:t xml:space="preserve"> Ltd, New Delhi, 2002.</w:t>
      </w:r>
      <w:proofErr w:type="gramEnd"/>
    </w:p>
    <w:p w:rsidR="00C86C22" w:rsidRPr="00C86C22" w:rsidRDefault="00C86C22" w:rsidP="00C86C22">
      <w:pPr>
        <w:rPr>
          <w:rFonts w:ascii="Times New Roman" w:hAnsi="Times New Roman" w:cs="Times New Roman"/>
          <w:sz w:val="24"/>
          <w:szCs w:val="24"/>
        </w:rPr>
      </w:pPr>
      <w:r w:rsidRPr="00C86C22">
        <w:rPr>
          <w:rFonts w:ascii="Times New Roman" w:hAnsi="Times New Roman" w:cs="Times New Roman"/>
          <w:sz w:val="24"/>
          <w:szCs w:val="24"/>
        </w:rPr>
        <w:t>REFERENCES</w:t>
      </w:r>
    </w:p>
    <w:p w:rsidR="00C86C22" w:rsidRPr="00C86C22" w:rsidRDefault="00C86C22" w:rsidP="00C86C22">
      <w:pPr>
        <w:rPr>
          <w:rFonts w:ascii="Times New Roman" w:hAnsi="Times New Roman" w:cs="Times New Roman"/>
          <w:sz w:val="24"/>
          <w:szCs w:val="24"/>
        </w:rPr>
      </w:pPr>
      <w:r w:rsidRPr="00C86C2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86C22">
        <w:rPr>
          <w:rFonts w:ascii="Times New Roman" w:hAnsi="Times New Roman" w:cs="Times New Roman"/>
          <w:sz w:val="24"/>
          <w:szCs w:val="24"/>
        </w:rPr>
        <w:t>Luces</w:t>
      </w:r>
      <w:proofErr w:type="spellEnd"/>
      <w:r w:rsidRPr="00C86C22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C86C22">
        <w:rPr>
          <w:rFonts w:ascii="Times New Roman" w:hAnsi="Times New Roman" w:cs="Times New Roman"/>
          <w:sz w:val="24"/>
          <w:szCs w:val="24"/>
        </w:rPr>
        <w:t>Fualkenberry</w:t>
      </w:r>
      <w:proofErr w:type="spellEnd"/>
      <w:r w:rsidRPr="00C86C22">
        <w:rPr>
          <w:rFonts w:ascii="Times New Roman" w:hAnsi="Times New Roman" w:cs="Times New Roman"/>
          <w:sz w:val="24"/>
          <w:szCs w:val="24"/>
        </w:rPr>
        <w:t>, Walter Coffer, ‘Electrical Power Distribution and Transmission’, Pearson Education, 1996.</w:t>
      </w:r>
    </w:p>
    <w:p w:rsidR="00C86C22" w:rsidRPr="00C86C22" w:rsidRDefault="00C86C22" w:rsidP="00C86C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86C2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86C22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C8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C22">
        <w:rPr>
          <w:rFonts w:ascii="Times New Roman" w:hAnsi="Times New Roman" w:cs="Times New Roman"/>
          <w:sz w:val="24"/>
          <w:szCs w:val="24"/>
        </w:rPr>
        <w:t>Saadat</w:t>
      </w:r>
      <w:proofErr w:type="spellEnd"/>
      <w:r w:rsidRPr="00C86C22">
        <w:rPr>
          <w:rFonts w:ascii="Times New Roman" w:hAnsi="Times New Roman" w:cs="Times New Roman"/>
          <w:sz w:val="24"/>
          <w:szCs w:val="24"/>
        </w:rPr>
        <w:t>, ‘Power System Analysis,’ Tata McGraw Hill Publishing Company’, 2003.</w:t>
      </w:r>
      <w:proofErr w:type="gramEnd"/>
    </w:p>
    <w:p w:rsidR="00C86C22" w:rsidRPr="00C86C22" w:rsidRDefault="00C86C22" w:rsidP="00C86C22">
      <w:pPr>
        <w:rPr>
          <w:rFonts w:ascii="Times New Roman" w:hAnsi="Times New Roman" w:cs="Times New Roman"/>
          <w:sz w:val="24"/>
          <w:szCs w:val="24"/>
        </w:rPr>
      </w:pPr>
      <w:r w:rsidRPr="00C86C22">
        <w:rPr>
          <w:rFonts w:ascii="Times New Roman" w:hAnsi="Times New Roman" w:cs="Times New Roman"/>
          <w:sz w:val="24"/>
          <w:szCs w:val="24"/>
        </w:rPr>
        <w:t>3. Central Electricity Authority (CEA), ‘Guidelines for Transmission System Planning’, New Delhi.</w:t>
      </w:r>
    </w:p>
    <w:p w:rsidR="00C86C22" w:rsidRPr="00C86C22" w:rsidRDefault="00C86C22" w:rsidP="00C86C22">
      <w:pPr>
        <w:rPr>
          <w:rFonts w:ascii="Times New Roman" w:hAnsi="Times New Roman" w:cs="Times New Roman"/>
          <w:sz w:val="24"/>
          <w:szCs w:val="24"/>
        </w:rPr>
      </w:pPr>
      <w:r w:rsidRPr="00C86C22">
        <w:rPr>
          <w:rFonts w:ascii="Times New Roman" w:hAnsi="Times New Roman" w:cs="Times New Roman"/>
          <w:sz w:val="24"/>
          <w:szCs w:val="24"/>
        </w:rPr>
        <w:t>4. ‘Tamil Nadu Electricity Board Handbook’, 2003</w:t>
      </w:r>
    </w:p>
    <w:sectPr w:rsidR="00C86C22" w:rsidRPr="00C86C22" w:rsidSect="00176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C86C22"/>
    <w:rsid w:val="00176BB9"/>
    <w:rsid w:val="003D4B70"/>
    <w:rsid w:val="00C86C22"/>
    <w:rsid w:val="00F6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2013-12-10T09:59:00Z</dcterms:created>
  <dcterms:modified xsi:type="dcterms:W3CDTF">2013-12-11T04:40:00Z</dcterms:modified>
</cp:coreProperties>
</file>